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A364D">
        <w:rPr>
          <w:color w:val="000000"/>
        </w:rPr>
        <w:t>Приложение к приказу</w:t>
      </w:r>
    </w:p>
    <w:p w:rsidR="00CA364D" w:rsidRDefault="00CA364D" w:rsidP="00CA364D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A364D">
        <w:rPr>
          <w:color w:val="000000"/>
        </w:rPr>
        <w:t xml:space="preserve">Муниципальное бюджетное учреждение </w:t>
      </w:r>
    </w:p>
    <w:p w:rsidR="00CA364D" w:rsidRDefault="00CA364D" w:rsidP="00CA364D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A364D">
        <w:rPr>
          <w:color w:val="000000"/>
        </w:rPr>
        <w:t>"</w:t>
      </w:r>
      <w:r>
        <w:rPr>
          <w:color w:val="000000"/>
        </w:rPr>
        <w:t xml:space="preserve">Спортивная школа 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олимпийского резерва Единоборств»</w:t>
      </w:r>
      <w:r w:rsidRPr="00CA364D">
        <w:rPr>
          <w:color w:val="000000"/>
        </w:rPr>
        <w:t>"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proofErr w:type="gramStart"/>
      <w:r w:rsidRPr="00CA364D">
        <w:rPr>
          <w:color w:val="000000"/>
        </w:rPr>
        <w:t xml:space="preserve">от </w:t>
      </w:r>
      <w:r>
        <w:rPr>
          <w:color w:val="000000"/>
        </w:rPr>
        <w:t xml:space="preserve"> «</w:t>
      </w:r>
      <w:proofErr w:type="gramEnd"/>
      <w:r>
        <w:rPr>
          <w:color w:val="000000"/>
        </w:rPr>
        <w:t xml:space="preserve"> ___»  __________ 20 __  </w:t>
      </w:r>
      <w:r w:rsidRPr="00CA364D">
        <w:rPr>
          <w:color w:val="000000"/>
        </w:rPr>
        <w:t xml:space="preserve">N </w:t>
      </w:r>
      <w:r>
        <w:rPr>
          <w:color w:val="000000"/>
        </w:rPr>
        <w:t>___</w:t>
      </w:r>
    </w:p>
    <w:p w:rsid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CA364D" w:rsidRDefault="00CA364D" w:rsidP="00CA364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CA364D">
        <w:rPr>
          <w:b/>
          <w:color w:val="000000"/>
        </w:rPr>
        <w:t>Учетная политика для целей налогового учета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CA364D">
        <w:rPr>
          <w:color w:val="000000"/>
        </w:rPr>
        <w:t>1</w:t>
      </w:r>
      <w:r w:rsidRPr="00CA364D">
        <w:rPr>
          <w:b/>
          <w:color w:val="000000"/>
        </w:rPr>
        <w:t>. Организация налогового учета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1.1. Настоящая Учетная политика для целей налогового учета разработана в соответствии с Налоговым кодексом РФ: - части первой (Федеральный закон от 31.07.1998 N 146-ФЗ); - части второй (Федеральный закон от 05.08.2000 N 117-ФЗ).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1.2. Ведение налогового учета осуществляет бухгалтерская служба.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1.3. Обработка учетной информации для целей налогообложения осуществляется с применением АС "Смета".</w:t>
      </w:r>
    </w:p>
    <w:p w:rsid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1.4. Регистры налогового учета распечатываются на бумажных носителях не позднее 30 числа месяца, следующего за отчетным периодом.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 xml:space="preserve">1.5. Сроки и состав документов, представляемых лицу, ведущему налоговый учет или документооборот, осуществляется в соответствии с Графиком документооборота (Приложение N </w:t>
      </w:r>
      <w:r>
        <w:rPr>
          <w:color w:val="000000"/>
        </w:rPr>
        <w:t>4</w:t>
      </w:r>
      <w:r w:rsidRPr="00CA364D">
        <w:rPr>
          <w:color w:val="000000"/>
        </w:rPr>
        <w:t xml:space="preserve"> к учетной политике).</w:t>
      </w:r>
    </w:p>
    <w:p w:rsid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CA364D" w:rsidRDefault="00CA364D" w:rsidP="00CA364D">
      <w:pPr>
        <w:pStyle w:val="a3"/>
        <w:spacing w:before="0" w:beforeAutospacing="0" w:after="0" w:afterAutospacing="0"/>
        <w:ind w:firstLine="709"/>
        <w:rPr>
          <w:b/>
        </w:rPr>
      </w:pPr>
      <w:r w:rsidRPr="00CA364D">
        <w:rPr>
          <w:b/>
        </w:rPr>
        <w:t>2. Н</w:t>
      </w:r>
      <w:r w:rsidRPr="00CA364D">
        <w:rPr>
          <w:b/>
        </w:rPr>
        <w:t>алог на добавленную стоимость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t>2.1.</w:t>
      </w:r>
      <w:r>
        <w:t xml:space="preserve"> ставка налога, установленная в </w:t>
      </w:r>
      <w:proofErr w:type="spellStart"/>
      <w:r>
        <w:t>Росии</w:t>
      </w:r>
      <w:proofErr w:type="spellEnd"/>
      <w:r>
        <w:t xml:space="preserve"> -20%.</w:t>
      </w:r>
    </w:p>
    <w:p w:rsid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2.</w:t>
      </w:r>
      <w:r>
        <w:rPr>
          <w:color w:val="000000"/>
        </w:rPr>
        <w:t>2</w:t>
      </w:r>
      <w:r w:rsidRPr="00CA364D">
        <w:rPr>
          <w:color w:val="000000"/>
        </w:rPr>
        <w:t>. Если за три предшествующих последовательных календарных месяца сумма выручки от реализации товаров (работ, услуг) не превысила в совокупности 2 000 000 рублей (без учета НДС), применяется право на освобождение от исполнения обязанностей налогоплательщика по НДС.</w:t>
      </w:r>
    </w:p>
    <w:p w:rsid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2.</w:t>
      </w:r>
      <w:r>
        <w:rPr>
          <w:color w:val="000000"/>
        </w:rPr>
        <w:t>3</w:t>
      </w:r>
      <w:r w:rsidRPr="00CA364D">
        <w:rPr>
          <w:color w:val="000000"/>
        </w:rPr>
        <w:t>. Счет-фактура составляется на бумажных носителях.</w:t>
      </w:r>
      <w:r>
        <w:rPr>
          <w:color w:val="000000"/>
        </w:rPr>
        <w:t xml:space="preserve"> Составление и оформление счетов-фактур осуществляется в отношении всех случаев реализации.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2.</w:t>
      </w:r>
      <w:r>
        <w:rPr>
          <w:color w:val="000000"/>
        </w:rPr>
        <w:t>4</w:t>
      </w:r>
      <w:r w:rsidRPr="00CA364D">
        <w:rPr>
          <w:color w:val="000000"/>
        </w:rPr>
        <w:t>. Нумерация счетов-фактур производится в порядке возрастания номеров с начала календарного года.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2.</w:t>
      </w:r>
      <w:r>
        <w:rPr>
          <w:color w:val="000000"/>
        </w:rPr>
        <w:t>5</w:t>
      </w:r>
      <w:r w:rsidRPr="00CA364D">
        <w:rPr>
          <w:color w:val="000000"/>
        </w:rPr>
        <w:t>. При изменении стоимости отгруженных товаров (выполненных работ, оказанных услуг), переданных имущественных прав, указанных в двух и более счетах-фактурах, составляется единый корректировочный счет-фактура.</w:t>
      </w:r>
    </w:p>
    <w:p w:rsid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2.</w:t>
      </w:r>
      <w:r>
        <w:rPr>
          <w:color w:val="000000"/>
        </w:rPr>
        <w:t>6</w:t>
      </w:r>
      <w:r w:rsidRPr="00CA364D">
        <w:rPr>
          <w:color w:val="000000"/>
        </w:rPr>
        <w:t xml:space="preserve">. При совершении операций по реализации товаров (работ, услуг), имущественных прав лицам, не являющимся налогоплательщиками НДС, а </w:t>
      </w:r>
      <w:proofErr w:type="gramStart"/>
      <w:r w:rsidRPr="00CA364D">
        <w:rPr>
          <w:color w:val="000000"/>
        </w:rPr>
        <w:t>так же</w:t>
      </w:r>
      <w:proofErr w:type="gramEnd"/>
      <w:r w:rsidRPr="00CA364D">
        <w:rPr>
          <w:color w:val="000000"/>
        </w:rPr>
        <w:t xml:space="preserve"> физическим лицам, счет-фактура не составляется.</w:t>
      </w:r>
    </w:p>
    <w:p w:rsid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2.7 При обнаружении ошибок (искажений) в исчислении налоговой базы, относящейся к </w:t>
      </w:r>
      <w:r w:rsidR="00F30D82">
        <w:rPr>
          <w:color w:val="000000"/>
        </w:rPr>
        <w:t>прошлым</w:t>
      </w:r>
      <w:r>
        <w:rPr>
          <w:color w:val="000000"/>
        </w:rPr>
        <w:t xml:space="preserve"> налоговым периодам, в текущем налоговом периоде, если допущенные ошибки привели к излишней уплате налога, перерасчёт налоговой базы и суммы налога производится за период, в котором были выявлены указанные ошибки.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CA364D">
        <w:rPr>
          <w:b/>
          <w:color w:val="000000"/>
        </w:rPr>
        <w:t>3. Налог на прибыль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3.1. Доходы и расходы признаются кассовым методом.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3.2. Ведение раздельного учета доходов и расходов в целях обеспечения требований пунктов 1 и 2 ст.251 НК РФ обеспечивается построением системы бухгалтерского учета с применением соответствующих счетов аналитического учета Рабочего плана счетов.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 xml:space="preserve">3.3. Доходы, относящиеся к нескольким отчетным (налоговым) периодам, и в случае, если связь между доходами и расходами не может быть определена четко или </w:t>
      </w:r>
      <w:r w:rsidRPr="00CA364D">
        <w:rPr>
          <w:color w:val="000000"/>
        </w:rPr>
        <w:lastRenderedPageBreak/>
        <w:t>определяется косвенным путем, признаются равномерно в течение срока действия договора.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3.4. Доходы от сдачи имущества в аренду (субаренду) учитываются в составе доходов от реализации.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3.5. К прямым расходам, связанным с производством и реализацией относятся: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- материальные затраты, определяемые в соответствии с пп.1 и 4 п.1 ст.254 НК РФ;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- расходы на оплату труда персонала, участвующего в процессе производства и реализации, и суммы страховых взносов, начисленные на указанные суммы на оплату труда;</w:t>
      </w:r>
    </w:p>
    <w:p w:rsid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- суммы начисленной амортизации по основным средствам, используемым при производстве;</w:t>
      </w:r>
    </w:p>
    <w:p w:rsidR="00F30D82" w:rsidRPr="00CA364D" w:rsidRDefault="00F30D82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 иные расходы (аренда основных средств, за исключением имущества общехозяйственного назначения и т.п.) (п.1 ст.318 гл.25 «Налог на прибыль» НК РФ).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3.6. При невозможности отнести отдельные виды прямых расходов к конкретному производственному процессу по изготовлению данного вида продукции (выполнения работ, оказания услуг), эти виды прямых расходов распределяются пропорционально заработной плате работников, осуществляющих конкретный производственный процесс.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3.7. Стоимость имущества, не являющегося амортизируемым (инструменты, приспособлен</w:t>
      </w:r>
      <w:r w:rsidR="00F30D82">
        <w:rPr>
          <w:color w:val="000000"/>
        </w:rPr>
        <w:t>и</w:t>
      </w:r>
      <w:r w:rsidRPr="00CA364D">
        <w:rPr>
          <w:color w:val="000000"/>
        </w:rPr>
        <w:t xml:space="preserve">я, инвентарь, приборы, лабораторное оборудование, спецодежда, иное </w:t>
      </w:r>
      <w:r w:rsidR="00F30D82" w:rsidRPr="00CA364D">
        <w:rPr>
          <w:color w:val="000000"/>
        </w:rPr>
        <w:t>не амортизируемое</w:t>
      </w:r>
      <w:r w:rsidRPr="00CA364D">
        <w:rPr>
          <w:color w:val="000000"/>
        </w:rPr>
        <w:t xml:space="preserve"> имущество), признается в составе материальных расходов </w:t>
      </w:r>
      <w:r w:rsidR="00F30D82">
        <w:rPr>
          <w:color w:val="000000"/>
        </w:rPr>
        <w:t>е</w:t>
      </w:r>
      <w:r w:rsidRPr="00CA364D">
        <w:rPr>
          <w:color w:val="000000"/>
        </w:rPr>
        <w:t>диновременно.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3.9. При списании используемых при производстве (изготовлении) продукции (выполнении работ, оказании услуг) сырья и материалов применяется метод оценки по стоимости единицы запасов.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3.10. Амортизация по объектам основных средств начисляется линейным методом.</w:t>
      </w: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3.11. Амортизация по амортизируемым основным средствам, используемым как в приносящей доход деятельности, так и в деятельности по выполнению задания, признается в расходах пропорционально доле соответствующего дохода в суммарном объеме всех доходов учреждения в соответствии с п.1 ст.272 НК РФ.</w:t>
      </w:r>
    </w:p>
    <w:p w:rsidR="00F30D82" w:rsidRDefault="00F30D82" w:rsidP="00F30D82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3.12. </w:t>
      </w:r>
      <w:r>
        <w:rPr>
          <w:color w:val="000000"/>
        </w:rPr>
        <w:t xml:space="preserve">При обнаружении ошибок (искажений) в исчислении налоговой базы, относящейся к </w:t>
      </w:r>
      <w:r>
        <w:rPr>
          <w:color w:val="000000"/>
        </w:rPr>
        <w:t>прошлым</w:t>
      </w:r>
      <w:r>
        <w:rPr>
          <w:color w:val="000000"/>
        </w:rPr>
        <w:t xml:space="preserve"> налоговым периодам, в текущем налоговом периоде, если допущенные ошибки привели к излишней уплате налога, перерасчёт налоговой базы и суммы налога производится за период, в котором были выявлены указанные ошибки.</w:t>
      </w:r>
    </w:p>
    <w:p w:rsidR="00F30D82" w:rsidRDefault="00F30D82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CA364D" w:rsidRPr="00F30D82" w:rsidRDefault="00CA364D" w:rsidP="00CA364D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F30D82">
        <w:rPr>
          <w:b/>
          <w:color w:val="000000"/>
        </w:rPr>
        <w:t>4. Налог на доходы физических лиц</w:t>
      </w:r>
    </w:p>
    <w:p w:rsidR="00AC6728" w:rsidRDefault="00AC6728" w:rsidP="00CA364D">
      <w:pPr>
        <w:pStyle w:val="a3"/>
        <w:spacing w:before="0" w:beforeAutospacing="0" w:after="0" w:afterAutospacing="0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4.1. </w:t>
      </w:r>
      <w:r w:rsidRPr="00AC6728">
        <w:rPr>
          <w:shd w:val="clear" w:color="auto" w:fill="FFFFFF"/>
        </w:rPr>
        <w:t>Налог на доходы физических лиц (НДФЛ) — основной вид прямых налогов. Исчисляется в процентах от совокупного дохода физических лиц за вычетом документально подтверждённых расходов, в соответствии с действующим законодательством</w:t>
      </w:r>
      <w:r w:rsidR="00A12DBB" w:rsidRPr="00A12DBB">
        <w:rPr>
          <w:rFonts w:ascii="Arial" w:hAnsi="Arial" w:cs="Arial"/>
          <w:color w:val="405965"/>
          <w:shd w:val="clear" w:color="auto" w:fill="FBFBFB"/>
        </w:rPr>
        <w:t xml:space="preserve"> </w:t>
      </w:r>
      <w:proofErr w:type="gramStart"/>
      <w:r w:rsidR="00A12DBB">
        <w:rPr>
          <w:shd w:val="clear" w:color="auto" w:fill="FBFBFB"/>
        </w:rPr>
        <w:t>К</w:t>
      </w:r>
      <w:proofErr w:type="gramEnd"/>
      <w:r w:rsidR="00A12DBB">
        <w:rPr>
          <w:shd w:val="clear" w:color="auto" w:fill="FBFBFB"/>
        </w:rPr>
        <w:t xml:space="preserve"> таким доходам </w:t>
      </w:r>
      <w:r w:rsidR="00A12DBB" w:rsidRPr="00A12DBB">
        <w:rPr>
          <w:shd w:val="clear" w:color="auto" w:fill="FBFBFB"/>
        </w:rPr>
        <w:t>относится заработная плата, вознаграждения по гражданско-правовым договорам, а также некоторые иные доходы.</w:t>
      </w:r>
    </w:p>
    <w:p w:rsidR="00AC6728" w:rsidRDefault="00AC6728" w:rsidP="00CA364D">
      <w:pPr>
        <w:pStyle w:val="a3"/>
        <w:spacing w:before="0" w:beforeAutospacing="0" w:after="0" w:afterAutospacing="0"/>
        <w:ind w:firstLine="709"/>
        <w:rPr>
          <w:shd w:val="clear" w:color="auto" w:fill="FFFFFF"/>
        </w:rPr>
      </w:pPr>
      <w:r>
        <w:rPr>
          <w:shd w:val="clear" w:color="auto" w:fill="FFFFFF"/>
        </w:rPr>
        <w:t>4.2. Установленная законодательством налоговая ставка – 13%.</w:t>
      </w:r>
    </w:p>
    <w:p w:rsidR="00A12DBB" w:rsidRDefault="00A12DBB" w:rsidP="00CA364D">
      <w:pPr>
        <w:pStyle w:val="a3"/>
        <w:spacing w:before="0" w:beforeAutospacing="0" w:after="0" w:afterAutospacing="0"/>
        <w:ind w:firstLine="709"/>
        <w:rPr>
          <w:shd w:val="clear" w:color="auto" w:fill="FFFFFF"/>
        </w:rPr>
      </w:pPr>
      <w:r>
        <w:rPr>
          <w:shd w:val="clear" w:color="auto" w:fill="FFFFFF"/>
        </w:rPr>
        <w:t>4.3. Каждый сотрудник</w:t>
      </w:r>
      <w:r w:rsidRPr="00A12DBB">
        <w:rPr>
          <w:shd w:val="clear" w:color="auto" w:fill="FFFFFF"/>
        </w:rPr>
        <w:t xml:space="preserve"> имеет право воспользоваться налоговым вычетом, тем самым уменьшив сумму налогооблагаемого дохода. Налоговый вычет — это сумма, которая уменьшает размер дохода (так называемую налогооблагаемую базу), с которого уплачивается налог.</w:t>
      </w:r>
    </w:p>
    <w:p w:rsidR="00A12DBB" w:rsidRPr="00A12DBB" w:rsidRDefault="00A12DBB" w:rsidP="00A12DBB">
      <w:pPr>
        <w:pStyle w:val="a3"/>
        <w:spacing w:before="0" w:beforeAutospacing="0" w:after="0" w:afterAutospacing="0"/>
        <w:ind w:firstLine="709"/>
      </w:pPr>
      <w:r w:rsidRPr="00A12DBB">
        <w:rPr>
          <w:shd w:val="clear" w:color="auto" w:fill="FFFFFF"/>
        </w:rPr>
        <w:t> </w:t>
      </w:r>
      <w:r>
        <w:rPr>
          <w:shd w:val="clear" w:color="auto" w:fill="FFFFFF"/>
        </w:rPr>
        <w:t xml:space="preserve">Стандартным налоговым вычетом является: </w:t>
      </w:r>
      <w:r w:rsidRPr="00A12DBB">
        <w:rPr>
          <w:shd w:val="clear" w:color="auto" w:fill="FFFFFF"/>
        </w:rPr>
        <w:t>Вычет на ребенка (детей)</w:t>
      </w:r>
      <w:r>
        <w:rPr>
          <w:shd w:val="clear" w:color="auto" w:fill="FFFFFF"/>
        </w:rPr>
        <w:t>.</w:t>
      </w:r>
      <w:r w:rsidRPr="00A12DB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A12DBB">
        <w:rPr>
          <w:shd w:val="clear" w:color="auto" w:fill="FFFFFF"/>
        </w:rPr>
        <w:t>редоставляется до месяца, в котором доход налогоплательщика, облагаемый по ставке </w:t>
      </w:r>
      <w:r w:rsidRPr="00A12DBB">
        <w:rPr>
          <w:b/>
          <w:bCs/>
          <w:shd w:val="clear" w:color="auto" w:fill="FFFFFF"/>
        </w:rPr>
        <w:t>13%</w:t>
      </w:r>
      <w:r w:rsidRPr="00A12DBB">
        <w:rPr>
          <w:shd w:val="clear" w:color="auto" w:fill="FFFFFF"/>
        </w:rPr>
        <w:t> и исчисленный нарастающим итогом с начала года, превысил 350 000 рублей. Вычет отменяется с месяца, когда доход сотрудника превысил эту сумму.</w:t>
      </w:r>
    </w:p>
    <w:p w:rsidR="00A12DBB" w:rsidRPr="00A12DBB" w:rsidRDefault="00A12DBB" w:rsidP="00A12DB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первого и второго ребенка – 1400 рублей;</w:t>
      </w:r>
    </w:p>
    <w:p w:rsidR="00A12DBB" w:rsidRPr="00A12DBB" w:rsidRDefault="00A12DBB" w:rsidP="00A12DB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третьего и каждого последующего ребенка – 3000 рублей;</w:t>
      </w:r>
    </w:p>
    <w:p w:rsidR="00A12DBB" w:rsidRPr="00A12DBB" w:rsidRDefault="00A12DBB" w:rsidP="00A12DB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каждого ребенка-инвалида до 18 лет, или учащегося очной формы обучения, аспиранта, ординатора, интерна, студента в возрасте до 24 лет, если он является инвалидом I или II группы – 12 000 рублей родителям и усыновителям (6 000 рублей – опекунам и попечителям).</w:t>
      </w:r>
    </w:p>
    <w:p w:rsidR="00A12DBB" w:rsidRPr="00AC6728" w:rsidRDefault="00A12DBB" w:rsidP="00CA364D">
      <w:pPr>
        <w:pStyle w:val="a3"/>
        <w:spacing w:before="0" w:beforeAutospacing="0" w:after="0" w:afterAutospacing="0"/>
        <w:ind w:firstLine="709"/>
      </w:pPr>
    </w:p>
    <w:p w:rsidR="00CA364D" w:rsidRPr="00CA364D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4.</w:t>
      </w:r>
      <w:r w:rsidR="00A12DBB">
        <w:rPr>
          <w:color w:val="000000"/>
        </w:rPr>
        <w:t>4</w:t>
      </w:r>
      <w:r w:rsidRPr="00CA364D">
        <w:rPr>
          <w:color w:val="000000"/>
        </w:rPr>
        <w:t>. Учет доходов физических лиц, налоговых вычетов, а также сумм исчисленного и удержанного налога на доходы физических лиц по каждому сотруднику ведется в налоговом регистре по форме, предусмотренной программой для ведения учета.</w:t>
      </w:r>
    </w:p>
    <w:p w:rsidR="00F30D82" w:rsidRDefault="00CA364D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4.</w:t>
      </w:r>
      <w:r w:rsidR="00A12DBB">
        <w:rPr>
          <w:color w:val="000000"/>
        </w:rPr>
        <w:t>5</w:t>
      </w:r>
      <w:r w:rsidRPr="00CA364D">
        <w:rPr>
          <w:color w:val="000000"/>
        </w:rPr>
        <w:t>. Наряду с налоговым регистром по учету доходов для целей исчисления НДФЛ, ведение которого осуществляется по каждому физическому лицу, налоговым агентом применяются также вспомогательные регистры</w:t>
      </w:r>
      <w:r w:rsidR="00F30D82">
        <w:rPr>
          <w:color w:val="000000"/>
        </w:rPr>
        <w:t>.</w:t>
      </w:r>
    </w:p>
    <w:p w:rsidR="00F30D82" w:rsidRDefault="00F30D82" w:rsidP="00CA364D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</w:p>
    <w:p w:rsidR="00D75770" w:rsidRPr="00F30D82" w:rsidRDefault="00CA364D" w:rsidP="00D75770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F30D82">
        <w:rPr>
          <w:b/>
          <w:color w:val="000000"/>
        </w:rPr>
        <w:t xml:space="preserve">5. </w:t>
      </w:r>
      <w:r w:rsidR="00D75770">
        <w:rPr>
          <w:b/>
          <w:color w:val="000000"/>
        </w:rPr>
        <w:t>Ст</w:t>
      </w:r>
      <w:bookmarkStart w:id="0" w:name="_GoBack"/>
      <w:bookmarkEnd w:id="0"/>
      <w:r w:rsidR="00D75770">
        <w:rPr>
          <w:b/>
          <w:color w:val="000000"/>
        </w:rPr>
        <w:t>раховые взносы в Пенсионный фонд, Фонд социального страхования, Федеральный и территориальный фонды обязательного медицинского страхования</w:t>
      </w:r>
    </w:p>
    <w:p w:rsidR="00D75770" w:rsidRDefault="00D75770" w:rsidP="00D75770">
      <w:pPr>
        <w:pStyle w:val="a3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>
        <w:rPr>
          <w:color w:val="000000"/>
        </w:rPr>
        <w:t>5</w:t>
      </w:r>
      <w:r w:rsidRPr="00CA364D">
        <w:rPr>
          <w:color w:val="000000"/>
        </w:rPr>
        <w:t xml:space="preserve">.1. </w:t>
      </w:r>
      <w:r w:rsidRPr="00D75770">
        <w:t>С</w:t>
      </w:r>
      <w:r w:rsidRPr="00D75770">
        <w:rPr>
          <w:rStyle w:val="a5"/>
          <w:b w:val="0"/>
          <w:shd w:val="clear" w:color="auto" w:fill="FFFFFF"/>
        </w:rPr>
        <w:t>траховые взносы</w:t>
      </w:r>
      <w:r w:rsidRPr="00D75770">
        <w:rPr>
          <w:shd w:val="clear" w:color="auto" w:fill="FFFFFF"/>
        </w:rPr>
        <w:t> – это обязательные платежи на обязательное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страхование,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 (</w:t>
      </w:r>
      <w:hyperlink r:id="rId5" w:tgtFrame="_blank" w:history="1">
        <w:r w:rsidRPr="00D75770">
          <w:rPr>
            <w:rStyle w:val="a4"/>
            <w:color w:val="auto"/>
            <w:shd w:val="clear" w:color="auto" w:fill="FFFFFF"/>
          </w:rPr>
          <w:t>ст. 8 НК РФ</w:t>
        </w:r>
      </w:hyperlink>
      <w:r w:rsidRPr="00D75770">
        <w:rPr>
          <w:shd w:val="clear" w:color="auto" w:fill="FFFFFF"/>
        </w:rPr>
        <w:t>).</w:t>
      </w:r>
    </w:p>
    <w:p w:rsidR="00D75770" w:rsidRPr="00D75770" w:rsidRDefault="00D75770" w:rsidP="00D7577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D75770">
        <w:rPr>
          <w:color w:val="333333"/>
        </w:rPr>
        <w:t>Различают следующие виды страховых взносов (</w:t>
      </w:r>
      <w:hyperlink r:id="rId6" w:tgtFrame="_blank" w:history="1">
        <w:r w:rsidRPr="00D75770">
          <w:rPr>
            <w:color w:val="0057A0"/>
            <w:u w:val="single"/>
          </w:rPr>
          <w:t>ст. 8 НК РФ</w:t>
        </w:r>
      </w:hyperlink>
      <w:r w:rsidRPr="00D75770">
        <w:rPr>
          <w:color w:val="333333"/>
        </w:rPr>
        <w:t>):</w:t>
      </w:r>
    </w:p>
    <w:p w:rsidR="00D75770" w:rsidRPr="00D75770" w:rsidRDefault="00D75770" w:rsidP="00D7577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страховые взносы на обязательное пенсионное страхование (ОПС);</w:t>
      </w:r>
    </w:p>
    <w:p w:rsidR="00D75770" w:rsidRPr="00D75770" w:rsidRDefault="00D75770" w:rsidP="00D7577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страховые взносы на обязательное медицинское страхование (ОМС);</w:t>
      </w:r>
    </w:p>
    <w:p w:rsidR="00D75770" w:rsidRPr="00D75770" w:rsidRDefault="00D75770" w:rsidP="00D7577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страховые взносы на обязательное социальное страхование на случай временной нетрудоспособности и в связи с материнством (</w:t>
      </w:r>
      <w:proofErr w:type="spellStart"/>
      <w:r w:rsidRPr="00D7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</w:t>
      </w:r>
      <w:proofErr w:type="spellEnd"/>
      <w:r w:rsidRPr="00D7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D75770" w:rsidRPr="00D75770" w:rsidRDefault="00D75770" w:rsidP="00D7577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страховые взносы на травматизм (страхование от несчастных случаев).</w:t>
      </w:r>
    </w:p>
    <w:p w:rsidR="00D75770" w:rsidRPr="00D75770" w:rsidRDefault="00D75770" w:rsidP="00D757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виды взносов рассчитываются с заработной платы и иных выплат, начисленных по каждому сотруднику.</w:t>
      </w:r>
    </w:p>
    <w:p w:rsidR="00D75770" w:rsidRPr="00D75770" w:rsidRDefault="00D75770" w:rsidP="00D757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иным выплатам, по которым необходимо начислить и уплатить страховые взносы относятся (</w:t>
      </w:r>
      <w:hyperlink r:id="rId7" w:tgtFrame="_blank" w:history="1">
        <w:r w:rsidRPr="00D75770">
          <w:rPr>
            <w:rFonts w:ascii="Times New Roman" w:eastAsia="Times New Roman" w:hAnsi="Times New Roman" w:cs="Times New Roman"/>
            <w:color w:val="0057A0"/>
            <w:sz w:val="24"/>
            <w:szCs w:val="24"/>
            <w:u w:val="single"/>
            <w:lang w:eastAsia="ru-RU"/>
          </w:rPr>
          <w:t>ст. 420 НК РФ</w:t>
        </w:r>
      </w:hyperlink>
      <w:r w:rsidRPr="00D7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</w:p>
    <w:p w:rsidR="00D75770" w:rsidRPr="00D75770" w:rsidRDefault="00D75770" w:rsidP="00D7577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премии;</w:t>
      </w:r>
    </w:p>
    <w:p w:rsidR="00D75770" w:rsidRPr="00D75770" w:rsidRDefault="00D75770" w:rsidP="00D7577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отпускные и компенсации за неиспользованный отпуск;</w:t>
      </w:r>
    </w:p>
    <w:p w:rsidR="00AC6728" w:rsidRPr="00AC6728" w:rsidRDefault="00D75770" w:rsidP="00AC67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материальная помощь свыше 4000 руб. на одного сотрудника за год.</w:t>
      </w:r>
    </w:p>
    <w:p w:rsidR="00AC6728" w:rsidRDefault="00AC6728" w:rsidP="00AC672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6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Страховые взносы </w:t>
      </w:r>
      <w:r w:rsidRPr="00AC6728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начисляются ежемесячно по каждому сотруднику</w:t>
      </w:r>
      <w:r w:rsidRPr="00AC67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 последнее число месяца, исходя из базы для исчисления страховых взносов. А уплачиваются не позднее 15-го числа следующего календарного месяца. То есть страховые взносы за февраль необходимо оплатить не позднее 15 марта. Если 15 число выпадает на выходной день, то страховые взносы платятся в следующий рабочий день за выходным.</w:t>
      </w:r>
    </w:p>
    <w:p w:rsidR="00AC6728" w:rsidRPr="00AC6728" w:rsidRDefault="00AC6728" w:rsidP="00AC67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7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Рассчитываются</w:t>
      </w:r>
      <w:r w:rsidRPr="00AC67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страховые взносы, </w:t>
      </w:r>
      <w:r w:rsidRPr="00AC67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исходя из ставки и базы</w:t>
      </w:r>
      <w:r w:rsidRPr="00AC67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исчисления страховых взносов.  База для исчисления страховых взносов определяется как сумма выплат и иных вознаграждений, начисленных отдельно в отношении каждого физического лица с начала года нарастающим итогом (</w:t>
      </w:r>
      <w:hyperlink r:id="rId8" w:tgtFrame="_blank" w:history="1">
        <w:r w:rsidRPr="00AC6728">
          <w:rPr>
            <w:rFonts w:ascii="Times New Roman" w:eastAsia="Times New Roman" w:hAnsi="Times New Roman" w:cs="Times New Roman"/>
            <w:color w:val="0057A0"/>
            <w:sz w:val="24"/>
            <w:szCs w:val="24"/>
            <w:u w:val="single"/>
            <w:lang w:eastAsia="ru-RU"/>
          </w:rPr>
          <w:t>Ст. 421 НК РФ</w:t>
        </w:r>
      </w:hyperlink>
      <w:r w:rsidRPr="00AC67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C6728" w:rsidRPr="00AC6728" w:rsidRDefault="00AC6728" w:rsidP="00AC67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7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Ставки и предельная база</w:t>
      </w:r>
      <w:r w:rsidRPr="00AC67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AC67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каждому виду взносов установлены следующим образом (см. таблицу).  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1701"/>
        <w:gridCol w:w="1134"/>
        <w:gridCol w:w="1134"/>
        <w:gridCol w:w="2268"/>
      </w:tblGrid>
      <w:tr w:rsidR="00AC6728" w:rsidRPr="00AC6728" w:rsidTr="00AC6728">
        <w:tc>
          <w:tcPr>
            <w:tcW w:w="3111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DDDDDD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База для исчисления страховых взносов </w:t>
            </w:r>
          </w:p>
        </w:tc>
        <w:tc>
          <w:tcPr>
            <w:tcW w:w="1701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DDDDDD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Пенсионное страхование </w:t>
            </w:r>
          </w:p>
        </w:tc>
        <w:tc>
          <w:tcPr>
            <w:tcW w:w="2268" w:type="dxa"/>
            <w:gridSpan w:val="2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DDDDDD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Социальное страхование </w:t>
            </w:r>
          </w:p>
        </w:tc>
        <w:tc>
          <w:tcPr>
            <w:tcW w:w="2268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DDDDDD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Медицинское страхование</w:t>
            </w:r>
          </w:p>
        </w:tc>
      </w:tr>
      <w:tr w:rsidR="00AC6728" w:rsidRPr="00AC6728" w:rsidTr="00AC6728">
        <w:tc>
          <w:tcPr>
            <w:tcW w:w="3111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Предельная величина базы на год</w:t>
            </w:r>
          </w:p>
        </w:tc>
        <w:tc>
          <w:tcPr>
            <w:tcW w:w="1701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1 465 000</w:t>
            </w:r>
          </w:p>
        </w:tc>
        <w:tc>
          <w:tcPr>
            <w:tcW w:w="2268" w:type="dxa"/>
            <w:gridSpan w:val="2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966 000</w:t>
            </w:r>
          </w:p>
        </w:tc>
        <w:tc>
          <w:tcPr>
            <w:tcW w:w="2268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нет макс размера</w:t>
            </w:r>
          </w:p>
        </w:tc>
      </w:tr>
      <w:tr w:rsidR="00AC6728" w:rsidRPr="00AC6728" w:rsidTr="00AC6728">
        <w:tc>
          <w:tcPr>
            <w:tcW w:w="3111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 xml:space="preserve">Предельная величина базы на </w:t>
            </w:r>
            <w:proofErr w:type="spellStart"/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мес</w:t>
            </w:r>
            <w:proofErr w:type="spellEnd"/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 xml:space="preserve">=База/12 </w:t>
            </w:r>
            <w:proofErr w:type="spellStart"/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мес</w:t>
            </w:r>
            <w:proofErr w:type="spellEnd"/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122 083</w:t>
            </w:r>
          </w:p>
        </w:tc>
        <w:tc>
          <w:tcPr>
            <w:tcW w:w="2268" w:type="dxa"/>
            <w:gridSpan w:val="2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80 500</w:t>
            </w:r>
          </w:p>
        </w:tc>
        <w:tc>
          <w:tcPr>
            <w:tcW w:w="2268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нет макс размера</w:t>
            </w:r>
          </w:p>
        </w:tc>
      </w:tr>
      <w:tr w:rsidR="00AC6728" w:rsidRPr="00AC6728" w:rsidTr="00AC6728">
        <w:tc>
          <w:tcPr>
            <w:tcW w:w="3111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Ставка </w:t>
            </w:r>
          </w:p>
        </w:tc>
        <w:tc>
          <w:tcPr>
            <w:tcW w:w="1701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22,00%</w:t>
            </w:r>
          </w:p>
        </w:tc>
        <w:tc>
          <w:tcPr>
            <w:tcW w:w="1134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2,90%</w:t>
            </w:r>
          </w:p>
        </w:tc>
        <w:tc>
          <w:tcPr>
            <w:tcW w:w="1134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1,80%</w:t>
            </w:r>
          </w:p>
        </w:tc>
        <w:tc>
          <w:tcPr>
            <w:tcW w:w="2268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5,10%</w:t>
            </w:r>
          </w:p>
        </w:tc>
      </w:tr>
      <w:tr w:rsidR="00AC6728" w:rsidRPr="00AC6728" w:rsidTr="00AC6728">
        <w:tc>
          <w:tcPr>
            <w:tcW w:w="3111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lastRenderedPageBreak/>
              <w:t>Размер взноса =База*Ставка </w:t>
            </w:r>
          </w:p>
        </w:tc>
        <w:tc>
          <w:tcPr>
            <w:tcW w:w="1701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322 300</w:t>
            </w:r>
          </w:p>
        </w:tc>
        <w:tc>
          <w:tcPr>
            <w:tcW w:w="1134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28 014</w:t>
            </w:r>
          </w:p>
        </w:tc>
        <w:tc>
          <w:tcPr>
            <w:tcW w:w="1134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17 388</w:t>
            </w:r>
          </w:p>
        </w:tc>
        <w:tc>
          <w:tcPr>
            <w:tcW w:w="2268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 </w:t>
            </w:r>
          </w:p>
        </w:tc>
      </w:tr>
      <w:tr w:rsidR="00AC6728" w:rsidRPr="00AC6728" w:rsidTr="00AC6728">
        <w:tc>
          <w:tcPr>
            <w:tcW w:w="3111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Ставка, если база превышена </w:t>
            </w:r>
          </w:p>
        </w:tc>
        <w:tc>
          <w:tcPr>
            <w:tcW w:w="1701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0</w:t>
            </w: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68" w:type="dxa"/>
            <w:tcBorders>
              <w:top w:val="single" w:sz="6" w:space="0" w:color="CDCDCB"/>
              <w:left w:val="single" w:sz="6" w:space="0" w:color="CDCDCB"/>
              <w:bottom w:val="single" w:sz="6" w:space="0" w:color="CDCDCB"/>
              <w:right w:val="single" w:sz="6" w:space="0" w:color="CDCDCB"/>
            </w:tcBorders>
            <w:shd w:val="clear" w:color="auto" w:fill="FFFFFF"/>
            <w:vAlign w:val="center"/>
            <w:hideMark/>
          </w:tcPr>
          <w:p w:rsidR="00AC6728" w:rsidRPr="00AC6728" w:rsidRDefault="00AC6728" w:rsidP="00AC67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</w:pP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t>5,10%</w:t>
            </w:r>
            <w:r w:rsidRPr="00AC6728">
              <w:rPr>
                <w:rFonts w:ascii="Times New Roman" w:eastAsia="Times New Roman" w:hAnsi="Times New Roman" w:cs="Times New Roman"/>
                <w:color w:val="0F1935"/>
                <w:sz w:val="24"/>
                <w:szCs w:val="24"/>
                <w:lang w:eastAsia="ru-RU"/>
              </w:rPr>
              <w:br/>
            </w:r>
          </w:p>
        </w:tc>
      </w:tr>
    </w:tbl>
    <w:p w:rsidR="00AC6728" w:rsidRDefault="00AC6728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D75770" w:rsidRPr="00F30D82" w:rsidRDefault="00CA364D" w:rsidP="00D75770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F30D82">
        <w:rPr>
          <w:b/>
          <w:color w:val="000000"/>
        </w:rPr>
        <w:t xml:space="preserve">6. </w:t>
      </w:r>
      <w:r w:rsidR="00D75770" w:rsidRPr="00F30D82">
        <w:rPr>
          <w:b/>
          <w:color w:val="000000"/>
        </w:rPr>
        <w:t>Транспортный налог</w:t>
      </w:r>
    </w:p>
    <w:p w:rsidR="00D75770" w:rsidRDefault="00D75770" w:rsidP="00D75770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 МБУ «СШОР Единоборств» транспортный налог не исчисляется и не уплачивается, в виду отсутствия транспортных средств.</w:t>
      </w:r>
    </w:p>
    <w:p w:rsidR="00C63697" w:rsidRPr="00CA364D" w:rsidRDefault="00C63697" w:rsidP="00CA364D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D75770" w:rsidRPr="00F30D82" w:rsidRDefault="00D75770" w:rsidP="00D75770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>
        <w:rPr>
          <w:b/>
          <w:color w:val="000000"/>
        </w:rPr>
        <w:t>7</w:t>
      </w:r>
      <w:r w:rsidR="00CA364D" w:rsidRPr="00F30D82">
        <w:rPr>
          <w:b/>
          <w:color w:val="000000"/>
        </w:rPr>
        <w:t xml:space="preserve">. </w:t>
      </w:r>
      <w:r w:rsidRPr="00F30D82">
        <w:rPr>
          <w:b/>
          <w:color w:val="000000"/>
        </w:rPr>
        <w:t>Земельный налог</w:t>
      </w:r>
    </w:p>
    <w:p w:rsidR="00D75770" w:rsidRPr="00CA364D" w:rsidRDefault="00D75770" w:rsidP="00D7577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>Налоговая база определяется как кадастровая стоимость земельных участков, признаваемых объектом налогообложения, по состоянию на 1 января года, являющегося налоговым периодом.</w:t>
      </w:r>
    </w:p>
    <w:p w:rsidR="00D75770" w:rsidRDefault="00D75770" w:rsidP="00D7577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A364D">
        <w:rPr>
          <w:color w:val="000000"/>
        </w:rPr>
        <w:t xml:space="preserve">Ответственным за получение справок о кадастровой стоимости земельного участка, признаваемого объектом налогообложения, по состоянию на 1 января каждого года является </w:t>
      </w:r>
      <w:r>
        <w:rPr>
          <w:color w:val="000000"/>
        </w:rPr>
        <w:t>главный бухгалтер</w:t>
      </w:r>
      <w:r w:rsidRPr="00CA364D">
        <w:rPr>
          <w:color w:val="000000"/>
        </w:rPr>
        <w:t xml:space="preserve"> Учреждения.</w:t>
      </w:r>
    </w:p>
    <w:p w:rsidR="00D75770" w:rsidRDefault="00D75770" w:rsidP="00CA364D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</w:p>
    <w:p w:rsidR="00CA364D" w:rsidRPr="00F30D82" w:rsidRDefault="00D75770" w:rsidP="00CA364D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>
        <w:rPr>
          <w:b/>
          <w:color w:val="000000"/>
        </w:rPr>
        <w:t xml:space="preserve">8. </w:t>
      </w:r>
      <w:r w:rsidR="00CA364D" w:rsidRPr="00F30D82">
        <w:rPr>
          <w:b/>
          <w:color w:val="000000"/>
        </w:rPr>
        <w:t>Налог на имущество организаций</w:t>
      </w:r>
    </w:p>
    <w:p w:rsidR="00C63697" w:rsidRDefault="00CA364D" w:rsidP="00C6369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05965"/>
        </w:rPr>
      </w:pPr>
      <w:r w:rsidRPr="00CA364D">
        <w:rPr>
          <w:color w:val="000000"/>
        </w:rPr>
        <w:t>Налог на имущество Учреждения исчисляется согласно НК РФ.</w:t>
      </w:r>
      <w:r w:rsidR="00C63697" w:rsidRPr="00C63697">
        <w:rPr>
          <w:rFonts w:ascii="Arial" w:hAnsi="Arial" w:cs="Arial"/>
          <w:color w:val="405965"/>
        </w:rPr>
        <w:t xml:space="preserve"> </w:t>
      </w:r>
    </w:p>
    <w:p w:rsidR="00C63697" w:rsidRDefault="00C63697" w:rsidP="00C6369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05965"/>
          <w:shd w:val="clear" w:color="auto" w:fill="FFFFFF"/>
        </w:rPr>
      </w:pPr>
      <w:r w:rsidRPr="00C63697">
        <w:t>Объект</w:t>
      </w:r>
      <w:r>
        <w:t>о</w:t>
      </w:r>
      <w:r w:rsidRPr="00C63697">
        <w:t>м налогообложения призна</w:t>
      </w:r>
      <w:r>
        <w:t>е</w:t>
      </w:r>
      <w:r w:rsidRPr="00C63697">
        <w:t>тся</w:t>
      </w:r>
      <w:r>
        <w:t xml:space="preserve"> </w:t>
      </w:r>
      <w:r w:rsidRPr="00C63697">
        <w:t>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организации в качестве объектов основных средств в порядке, установленном для ведения бухгалтерского учета, в случае, если налоговая база в отношении такого имущества определяется в соответствии с пунктом 1 </w:t>
      </w:r>
      <w:hyperlink r:id="rId9" w:tgtFrame="_blank" w:history="1">
        <w:r w:rsidRPr="00C63697">
          <w:t>статьи 375 НК РФ</w:t>
        </w:r>
      </w:hyperlink>
      <w:r w:rsidRPr="00C63697">
        <w:t>, если иное не предусмотрено </w:t>
      </w:r>
      <w:hyperlink r:id="rId10" w:tgtFrame="_blank" w:history="1">
        <w:r w:rsidRPr="00C63697">
          <w:t>статьями 378</w:t>
        </w:r>
      </w:hyperlink>
      <w:r w:rsidRPr="00C63697">
        <w:t> и </w:t>
      </w:r>
      <w:hyperlink r:id="rId11" w:tgtFrame="_blank" w:history="1">
        <w:r w:rsidRPr="00C63697">
          <w:t>378.1 НК РФ</w:t>
        </w:r>
      </w:hyperlink>
      <w:r>
        <w:t>.</w:t>
      </w:r>
      <w:r w:rsidRPr="00C63697">
        <w:rPr>
          <w:rFonts w:ascii="Arial" w:hAnsi="Arial" w:cs="Arial"/>
          <w:color w:val="405965"/>
          <w:shd w:val="clear" w:color="auto" w:fill="FFFFFF"/>
        </w:rPr>
        <w:t xml:space="preserve"> </w:t>
      </w:r>
    </w:p>
    <w:p w:rsidR="00C63697" w:rsidRDefault="00C63697" w:rsidP="00C63697">
      <w:pPr>
        <w:pStyle w:val="a3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C63697">
        <w:rPr>
          <w:shd w:val="clear" w:color="auto" w:fill="FFFFFF"/>
        </w:rPr>
        <w:t>Н</w:t>
      </w:r>
      <w:r w:rsidRPr="00C63697">
        <w:rPr>
          <w:shd w:val="clear" w:color="auto" w:fill="FFFFFF"/>
        </w:rPr>
        <w:t>алоговая база (</w:t>
      </w:r>
      <w:hyperlink r:id="rId12" w:anchor="block_375" w:tgtFrame="_blank" w:history="1">
        <w:r w:rsidRPr="00C63697">
          <w:rPr>
            <w:rStyle w:val="a4"/>
            <w:color w:val="auto"/>
            <w:shd w:val="clear" w:color="auto" w:fill="FFFFFF"/>
          </w:rPr>
          <w:t>ст. 375 НК РФ</w:t>
        </w:r>
      </w:hyperlink>
      <w:r w:rsidRPr="00C63697">
        <w:rPr>
          <w:shd w:val="clear" w:color="auto" w:fill="FFFFFF"/>
        </w:rPr>
        <w:t>) определяется как среднегодовая стоимость имущества, признаваемого объектом налогообложения, если иное не предусмотрено указанной статьей НК РФ.</w:t>
      </w:r>
      <w:r w:rsidRPr="00C63697">
        <w:rPr>
          <w:shd w:val="clear" w:color="auto" w:fill="FFFFFF"/>
        </w:rPr>
        <w:t xml:space="preserve"> </w:t>
      </w:r>
    </w:p>
    <w:p w:rsidR="00C63697" w:rsidRDefault="00C63697" w:rsidP="00C63697">
      <w:pPr>
        <w:pStyle w:val="a3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C63697">
        <w:rPr>
          <w:shd w:val="clear" w:color="auto" w:fill="FFFFFF"/>
        </w:rPr>
        <w:t>При определении налоговой базы как среднегодовой стоимости имущества, признаваемого объектом налогообложения, такое имущество учитывается по его остаточной стоимости, сформированной в соответствии с установленным порядком ведения бухгалтерского учета, утвержденным в учетной политике организации.</w:t>
      </w:r>
      <w:r w:rsidRPr="00C63697">
        <w:rPr>
          <w:shd w:val="clear" w:color="auto" w:fill="FFFFFF"/>
        </w:rPr>
        <w:t xml:space="preserve"> </w:t>
      </w:r>
    </w:p>
    <w:p w:rsidR="00C63697" w:rsidRDefault="00C63697" w:rsidP="00C63697">
      <w:pPr>
        <w:pStyle w:val="a3"/>
        <w:shd w:val="clear" w:color="auto" w:fill="FFFFFF"/>
        <w:spacing w:before="0" w:beforeAutospacing="0" w:after="0" w:afterAutospacing="0"/>
        <w:ind w:firstLine="709"/>
      </w:pPr>
      <w:r w:rsidRPr="00C63697">
        <w:rPr>
          <w:shd w:val="clear" w:color="auto" w:fill="FFFFFF"/>
        </w:rPr>
        <w:t>Налоговые ставки устанавливаются законами субъектов Российской Федерации и не могут превышать 2,2 процента, если иное не предусмотрено </w:t>
      </w:r>
      <w:hyperlink r:id="rId13" w:anchor="block_380" w:tgtFrame="_blank" w:history="1">
        <w:r w:rsidRPr="00C63697">
          <w:rPr>
            <w:rStyle w:val="a4"/>
            <w:color w:val="auto"/>
            <w:shd w:val="clear" w:color="auto" w:fill="FFFFFF"/>
          </w:rPr>
          <w:t>статьей 380 НК РФ</w:t>
        </w:r>
      </w:hyperlink>
      <w:r w:rsidRPr="00C63697">
        <w:rPr>
          <w:shd w:val="clear" w:color="auto" w:fill="FFFFFF"/>
        </w:rPr>
        <w:t>.</w:t>
      </w:r>
      <w:r w:rsidRPr="00C63697">
        <w:t xml:space="preserve"> </w:t>
      </w:r>
      <w:r w:rsidRPr="00C63697">
        <w:t> </w:t>
      </w:r>
    </w:p>
    <w:p w:rsidR="00C63697" w:rsidRDefault="00C63697" w:rsidP="00C63697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Налоговый период – год. </w:t>
      </w:r>
    </w:p>
    <w:p w:rsidR="00C63697" w:rsidRPr="00C63697" w:rsidRDefault="00C63697" w:rsidP="00C63697">
      <w:pPr>
        <w:pStyle w:val="a3"/>
        <w:shd w:val="clear" w:color="auto" w:fill="FFFFFF"/>
        <w:spacing w:before="0" w:beforeAutospacing="0" w:after="0" w:afterAutospacing="0"/>
        <w:ind w:firstLine="709"/>
      </w:pPr>
      <w:r>
        <w:t>П</w:t>
      </w:r>
      <w:r w:rsidRPr="00C63697">
        <w:t>орядок и сроки уплаты налога (авансовых платежей по налогу) устанавливаются законодательными (представительными) органами субъектов Российской Федерации.</w:t>
      </w:r>
    </w:p>
    <w:p w:rsidR="00C63697" w:rsidRPr="00C63697" w:rsidRDefault="00C63697" w:rsidP="00C63697">
      <w:pPr>
        <w:pStyle w:val="a3"/>
        <w:shd w:val="clear" w:color="auto" w:fill="FFFFFF"/>
        <w:spacing w:before="0" w:beforeAutospacing="0" w:after="0" w:afterAutospacing="0"/>
        <w:ind w:firstLine="709"/>
      </w:pPr>
      <w:r w:rsidRPr="00C63697">
        <w:t>В течение налогового периода налогоплательщики уплачивают авансовые платежи по налогу, если законом субъекта Российской Федерации не предусмотрено иное. По истечении налогового периода налогоплательщики уплачивают сумму налога, исчисленную в порядке, предусмотренном пунктом 2 </w:t>
      </w:r>
      <w:hyperlink r:id="rId14" w:tgtFrame="blank" w:history="1">
        <w:r w:rsidRPr="00C63697">
          <w:rPr>
            <w:rStyle w:val="a4"/>
            <w:color w:val="auto"/>
          </w:rPr>
          <w:t>статьи 382 Налогового кодекса Российской Федерации.</w:t>
        </w:r>
      </w:hyperlink>
    </w:p>
    <w:sectPr w:rsidR="00C63697" w:rsidRPr="00C6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1147"/>
    <w:multiLevelType w:val="multilevel"/>
    <w:tmpl w:val="2326DE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6045E"/>
    <w:multiLevelType w:val="multilevel"/>
    <w:tmpl w:val="4EDC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22A0D"/>
    <w:multiLevelType w:val="multilevel"/>
    <w:tmpl w:val="F5DC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B2936"/>
    <w:multiLevelType w:val="multilevel"/>
    <w:tmpl w:val="6B869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4D"/>
    <w:rsid w:val="00A12DBB"/>
    <w:rsid w:val="00AC6728"/>
    <w:rsid w:val="00C63697"/>
    <w:rsid w:val="00CA364D"/>
    <w:rsid w:val="00D75770"/>
    <w:rsid w:val="00DC1C8A"/>
    <w:rsid w:val="00F3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9AB5-7AF7-4055-977A-389A5F85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697"/>
    <w:rPr>
      <w:color w:val="0000FF"/>
      <w:u w:val="single"/>
    </w:rPr>
  </w:style>
  <w:style w:type="character" w:styleId="a5">
    <w:name w:val="Strong"/>
    <w:basedOn w:val="a0"/>
    <w:uiPriority w:val="22"/>
    <w:qFormat/>
    <w:rsid w:val="00C63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85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db3283ea67466d62925205583461cb655f5662e8/" TargetMode="External"/><Relationship Id="rId13" Type="http://schemas.openxmlformats.org/officeDocument/2006/relationships/hyperlink" Target="http://nalog.garant.ru/fns/nk/ece92382efb38f5899252c9982390b2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65/fa098053c64474d0bce6fdf7cf266b087965a092/" TargetMode="External"/><Relationship Id="rId12" Type="http://schemas.openxmlformats.org/officeDocument/2006/relationships/hyperlink" Target="http://nalog.garant.ru/fns/nk/17065ca3ca9dcacddcef32d00eb9d04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671/fd3039f558e14477ce752eb9789b02a023fbc006/" TargetMode="External"/><Relationship Id="rId11" Type="http://schemas.openxmlformats.org/officeDocument/2006/relationships/hyperlink" Target="http://nalog.garant.ru/fns/nk/8050ceefa8881e6593ac21d0ad42c13c/" TargetMode="External"/><Relationship Id="rId5" Type="http://schemas.openxmlformats.org/officeDocument/2006/relationships/hyperlink" Target="http://www.consultant.ru/document/cons_doc_LAW_19671/fd3039f558e14477ce752eb9789b02a023fbc00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alog.garant.ru/fns/nk/7590567e437ce36fed807ef4b4c64f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17065ca3ca9dcacddcef32d00eb9d041/" TargetMode="External"/><Relationship Id="rId14" Type="http://schemas.openxmlformats.org/officeDocument/2006/relationships/hyperlink" Target="http://nalog.garant.ru/fns/nk/4caf2f10e962583229bd94b0ff39a0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2021-11-28T15:28:00Z</dcterms:created>
  <dcterms:modified xsi:type="dcterms:W3CDTF">2021-11-28T16:35:00Z</dcterms:modified>
</cp:coreProperties>
</file>